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8C" w:rsidRPr="008E4F43" w:rsidRDefault="00A81D2B" w:rsidP="00A81D2B">
      <w:pPr>
        <w:pStyle w:val="ListParagraph"/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8 </w:t>
      </w:r>
      <w:proofErr w:type="spellStart"/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Inovasi</w:t>
      </w:r>
      <w:proofErr w:type="spellEnd"/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Penting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DJP </w:t>
      </w:r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Perlu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Anda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Ketahui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di Kuartal Pertama 2017</w:t>
      </w:r>
    </w:p>
    <w:p w:rsidR="0006271D" w:rsidRPr="008E4F43" w:rsidRDefault="0006271D" w:rsidP="00A81D2B">
      <w:pPr>
        <w:pStyle w:val="ListParagraph"/>
        <w:jc w:val="both"/>
        <w:rPr>
          <w:rFonts w:ascii="DIN Alternate" w:hAnsi="DIN Alternate" w:cs="Arial"/>
          <w:color w:val="FF0000"/>
          <w:sz w:val="24"/>
          <w:szCs w:val="24"/>
        </w:rPr>
      </w:pPr>
    </w:p>
    <w:p w:rsidR="004936B9" w:rsidRPr="008E4F43" w:rsidRDefault="004936B9" w:rsidP="00A81D2B">
      <w:pPr>
        <w:pStyle w:val="ListParagraph"/>
        <w:jc w:val="both"/>
        <w:rPr>
          <w:rFonts w:ascii="DIN Alternate" w:hAnsi="DIN Alternate" w:cs="Arial"/>
          <w:color w:val="FF0000"/>
          <w:sz w:val="24"/>
          <w:szCs w:val="24"/>
        </w:rPr>
      </w:pPr>
    </w:p>
    <w:p w:rsidR="00837A0B" w:rsidRPr="008E4F43" w:rsidRDefault="00837A0B" w:rsidP="00474D26">
      <w:pPr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Sebuah institusi akan selalu menghadapi be</w:t>
      </w:r>
      <w:r w:rsidR="00BD0DCB" w:rsidRPr="008E4F43">
        <w:rPr>
          <w:rFonts w:ascii="DIN Alternate" w:hAnsi="DIN Alternate" w:cs="Arial"/>
          <w:color w:val="000000" w:themeColor="text1"/>
          <w:sz w:val="24"/>
          <w:szCs w:val="24"/>
        </w:rPr>
        <w:t>r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bagai tuntutan kebutuhan. Tuntutan itu timbul karena  pengaruh lingkungan yang selalu berubah. </w:t>
      </w:r>
    </w:p>
    <w:p w:rsidR="008A60F5" w:rsidRPr="008E4F43" w:rsidRDefault="00837A0B" w:rsidP="00474D26">
      <w:pPr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Pun demikian dengan institusi publik seperti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Direktorat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Jenderal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(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DJP</w:t>
      </w:r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)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. Kebutuhan untuk terus memberikan kepuasan kepada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pemangku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kepentingan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membuat DJP tak pernah berhenti untuk berbenah dan b</w:t>
      </w:r>
      <w:r w:rsidR="0034031D" w:rsidRPr="008E4F43">
        <w:rPr>
          <w:rFonts w:ascii="DIN Alternate" w:hAnsi="DIN Alternate" w:cs="Arial"/>
          <w:color w:val="000000" w:themeColor="text1"/>
          <w:sz w:val="24"/>
          <w:szCs w:val="24"/>
        </w:rPr>
        <w:t>erubah</w:t>
      </w:r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ke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arah</w:t>
      </w:r>
      <w:proofErr w:type="spellEnd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yang </w:t>
      </w:r>
      <w:r w:rsidR="0034031D" w:rsidRPr="008E4F43">
        <w:rPr>
          <w:rFonts w:ascii="DIN Alternate" w:hAnsi="DIN Alternate" w:cs="Arial"/>
          <w:color w:val="000000" w:themeColor="text1"/>
          <w:sz w:val="24"/>
          <w:szCs w:val="24"/>
        </w:rPr>
        <w:t>lebih baik. Dan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r</w:t>
      </w:r>
      <w:r w:rsidR="00C42E1A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eformasi 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perpajakan </w:t>
      </w:r>
      <w:r w:rsidR="00C42E1A" w:rsidRPr="008E4F43">
        <w:rPr>
          <w:rFonts w:ascii="DIN Alternate" w:hAnsi="DIN Alternate" w:cs="Arial"/>
          <w:color w:val="000000" w:themeColor="text1"/>
          <w:sz w:val="24"/>
          <w:szCs w:val="24"/>
        </w:rPr>
        <w:t>adalah sesuatu yang mutlak dilakukan untuk perubaha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n</w:t>
      </w:r>
      <w:r w:rsidR="00C42E1A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 ke arah perbaikan. </w:t>
      </w:r>
    </w:p>
    <w:p w:rsidR="00A81D2B" w:rsidRPr="008E4F43" w:rsidRDefault="007622B9" w:rsidP="008476F9">
      <w:pPr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Pada akhir 2017 </w:t>
      </w:r>
      <w:r w:rsidR="008A60F5" w:rsidRPr="008E4F43">
        <w:rPr>
          <w:rFonts w:ascii="DIN Alternate" w:hAnsi="DIN Alternate" w:cs="Arial"/>
          <w:color w:val="000000" w:themeColor="text1"/>
          <w:sz w:val="24"/>
          <w:szCs w:val="24"/>
        </w:rPr>
        <w:t>Sri Mulyani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memb</w:t>
      </w:r>
      <w:r w:rsidR="008476F9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entuk tim reformasi perpajakan dengan </w:t>
      </w:r>
      <w:r w:rsidR="00C42E1A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Keputusan Menteri keuangan (KMK) Nomor 885/KMK.03/2016 tentang Pembentukan Tim Reformasi Perpajakan. </w:t>
      </w:r>
    </w:p>
    <w:p w:rsidR="008A60F5" w:rsidRPr="008E4F43" w:rsidRDefault="008476F9" w:rsidP="008476F9">
      <w:pPr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Tim </w:t>
      </w:r>
      <w:r w:rsidR="008A60F5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ini bertujuan untuk membangun institusi perpajakan yang 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berwibawa yang mampu melaksanakan tugas pengumpulan penerimaan negara dan meningkatkan kepercayaan </w:t>
      </w:r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ajib </w:t>
      </w:r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</w:t>
      </w: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ajak kepada institusi perpajakan, salah satunya</w:t>
      </w:r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D2B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melalui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perbaikan proses bisnis interaksi antara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wajib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dan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i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nstitusi dalam pelaksanaan hak dan kewajiban perpajakan. </w:t>
      </w:r>
    </w:p>
    <w:p w:rsidR="0006271D" w:rsidRPr="008E4F43" w:rsidRDefault="00815450" w:rsidP="00BD0DCB">
      <w:pPr>
        <w:jc w:val="both"/>
        <w:rPr>
          <w:rFonts w:ascii="DIN Alternate" w:hAnsi="DIN Alternate" w:cs="Arial"/>
          <w:color w:val="000000" w:themeColor="text1"/>
          <w:sz w:val="24"/>
          <w:szCs w:val="24"/>
        </w:rPr>
      </w:pPr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Proses bisnis interaksi antara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wajib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dan DJP harus memberikan kemudahan kepada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wajib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dalam pemenuhan pelaksanaan hak dan kewajiban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wajib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>. DJP harus mampu mengemas mutu pelayanan menjadi lebih mudah, sederhana, efektif, kekinian, dan terjangkau</w:t>
      </w:r>
      <w:r w:rsidR="00BD0DCB"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buat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wajib</w:t>
      </w:r>
      <w:proofErr w:type="spellEnd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271D" w:rsidRPr="008E4F43">
        <w:rPr>
          <w:rFonts w:ascii="DIN Alternate" w:hAnsi="DIN Alternate" w:cs="Arial"/>
          <w:color w:val="000000" w:themeColor="text1"/>
          <w:sz w:val="24"/>
          <w:szCs w:val="24"/>
          <w:lang w:val="en-US"/>
        </w:rPr>
        <w:t>pajak</w:t>
      </w:r>
      <w:proofErr w:type="spellEnd"/>
      <w:r w:rsidRPr="008E4F43">
        <w:rPr>
          <w:rFonts w:ascii="DIN Alternate" w:hAnsi="DIN Alternate" w:cs="Arial"/>
          <w:color w:val="000000" w:themeColor="text1"/>
          <w:sz w:val="24"/>
          <w:szCs w:val="24"/>
        </w:rPr>
        <w:t xml:space="preserve">. </w:t>
      </w:r>
    </w:p>
    <w:p w:rsidR="008E4F43" w:rsidRPr="008E4F43" w:rsidRDefault="008E4F43" w:rsidP="00BD0DCB">
      <w:pPr>
        <w:spacing w:before="100" w:beforeAutospacing="1" w:after="100" w:afterAutospacing="1" w:line="240" w:lineRule="auto"/>
        <w:jc w:val="both"/>
        <w:rPr>
          <w:rFonts w:ascii="DIN Alternate" w:hAnsi="DIN Alternate"/>
          <w:color w:val="000000"/>
          <w:sz w:val="24"/>
          <w:szCs w:val="24"/>
          <w:shd w:val="clear" w:color="auto" w:fill="FFFFFF"/>
        </w:rPr>
      </w:pPr>
      <w:r w:rsidRPr="008E4F43">
        <w:rPr>
          <w:rFonts w:ascii="DIN Alternate" w:hAnsi="DIN Alternate"/>
          <w:color w:val="000000"/>
          <w:sz w:val="24"/>
          <w:szCs w:val="24"/>
          <w:shd w:val="clear" w:color="auto" w:fill="FFFFFF"/>
        </w:rPr>
        <w:t>Untuk memenuhi tuntutan reformasi perpajakan terkait kemudahan proses bisnis dan peningkatan mutu pelayanan, Tim Reformasi Perpajakan</w:t>
      </w:r>
      <w:r w:rsidRPr="008E4F43">
        <w:rPr>
          <w:rStyle w:val="apple-converted-space"/>
          <w:rFonts w:ascii="DIN Alternate" w:hAnsi="DIN Alternate"/>
          <w:color w:val="000000"/>
          <w:sz w:val="24"/>
          <w:szCs w:val="24"/>
          <w:shd w:val="clear" w:color="auto" w:fill="FFFFFF"/>
        </w:rPr>
        <w:t> </w:t>
      </w:r>
      <w:r w:rsidRPr="008E4F43">
        <w:rPr>
          <w:rFonts w:ascii="DIN Alternate" w:hAnsi="DIN Alternate"/>
          <w:color w:val="000000"/>
          <w:sz w:val="24"/>
          <w:szCs w:val="24"/>
          <w:shd w:val="clear" w:color="auto" w:fill="FFFFFF"/>
        </w:rPr>
        <w:t>telah menghasilkan beberapa capaian kinerja</w:t>
      </w:r>
      <w:r w:rsidRPr="008E4F43">
        <w:rPr>
          <w:rStyle w:val="apple-converted-space"/>
          <w:rFonts w:ascii="DIN Alternate" w:hAnsi="DIN Alternate"/>
          <w:color w:val="000000"/>
          <w:sz w:val="24"/>
          <w:szCs w:val="24"/>
          <w:shd w:val="clear" w:color="auto" w:fill="FFFFFF"/>
        </w:rPr>
        <w:t> </w:t>
      </w:r>
      <w:r w:rsidRPr="008E4F43">
        <w:rPr>
          <w:rFonts w:ascii="DIN Alternate" w:hAnsi="DIN Alternate"/>
          <w:color w:val="000000"/>
          <w:sz w:val="24"/>
          <w:szCs w:val="24"/>
          <w:shd w:val="clear" w:color="auto" w:fill="FFFFFF"/>
        </w:rPr>
        <w:t>di kuartal pertama 2017</w:t>
      </w:r>
      <w:r w:rsidRPr="008E4F43">
        <w:rPr>
          <w:rStyle w:val="apple-converted-space"/>
          <w:rFonts w:ascii="DIN Alternate" w:hAnsi="DIN Alternate"/>
          <w:color w:val="000000"/>
          <w:sz w:val="24"/>
          <w:szCs w:val="24"/>
          <w:shd w:val="clear" w:color="auto" w:fill="FFFFFF"/>
        </w:rPr>
        <w:t> </w:t>
      </w:r>
      <w:r w:rsidRPr="008E4F43">
        <w:rPr>
          <w:rFonts w:ascii="DIN Alternate" w:hAnsi="DIN Alternate"/>
          <w:color w:val="000000"/>
          <w:sz w:val="24"/>
          <w:szCs w:val="24"/>
          <w:shd w:val="clear" w:color="auto" w:fill="FFFFFF"/>
        </w:rPr>
        <w:t>antara lain delapan inovasi sebagai berikut:</w:t>
      </w:r>
      <w:bookmarkStart w:id="0" w:name="_GoBack"/>
      <w:bookmarkEnd w:id="0"/>
    </w:p>
    <w:p w:rsidR="00C42E1A" w:rsidRPr="008E4F43" w:rsidRDefault="00474D26" w:rsidP="00BD0DCB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Pertama, </w:t>
      </w:r>
      <w:r w:rsidR="00C42E1A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E-billing support</w:t>
      </w:r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. </w:t>
      </w:r>
      <w:r w:rsidR="003058B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Ini adalah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integrasi sistem </w:t>
      </w:r>
      <w:r w:rsidR="00C42E1A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billing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dengan sistem penagihan, termasuk notifikasi jatuh tempo pembayaran dan pemberitahuan melalui </w:t>
      </w:r>
      <w:r w:rsidR="00CC64B1" w:rsidRPr="008E4F43">
        <w:rPr>
          <w:rFonts w:ascii="DIN Alternate" w:eastAsia="Times New Roman" w:hAnsi="DIN Alternate" w:cs="Arial"/>
          <w:i/>
          <w:iCs/>
          <w:color w:val="000000" w:themeColor="text1"/>
          <w:sz w:val="24"/>
          <w:szCs w:val="24"/>
          <w:lang w:eastAsia="id-ID"/>
        </w:rPr>
        <w:t>outbound call.</w:t>
      </w:r>
    </w:p>
    <w:p w:rsidR="00C42E1A" w:rsidRPr="008E4F43" w:rsidRDefault="00474D26" w:rsidP="00BD0DCB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Kedua, f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asilitas </w:t>
      </w:r>
      <w:r w:rsidR="00C42E1A" w:rsidRPr="008E4F43">
        <w:rPr>
          <w:rFonts w:ascii="DIN Alternate" w:eastAsia="Times New Roman" w:hAnsi="DIN Alternate" w:cs="Arial"/>
          <w:i/>
          <w:iCs/>
          <w:color w:val="000000" w:themeColor="text1"/>
          <w:sz w:val="24"/>
          <w:szCs w:val="24"/>
          <w:lang w:eastAsia="id-ID"/>
        </w:rPr>
        <w:t>virtual assistant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dan </w:t>
      </w:r>
      <w:r w:rsidR="00C42E1A" w:rsidRPr="008E4F43">
        <w:rPr>
          <w:rFonts w:ascii="DIN Alternate" w:eastAsia="Times New Roman" w:hAnsi="DIN Alternate" w:cs="Arial"/>
          <w:i/>
          <w:iCs/>
          <w:color w:val="000000" w:themeColor="text1"/>
          <w:sz w:val="24"/>
          <w:szCs w:val="24"/>
          <w:lang w:eastAsia="id-ID"/>
        </w:rPr>
        <w:t>live chatting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. Ini adalah </w:t>
      </w:r>
      <w:r w:rsidR="001219F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fitur pelayanan tanya j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awab dalam </w:t>
      </w:r>
      <w:proofErr w:type="spellStart"/>
      <w:r w:rsidR="0006271D" w:rsidRPr="008E4F43">
        <w:rPr>
          <w:rFonts w:ascii="DIN Alternate" w:eastAsia="Times New Roman" w:hAnsi="DIN Alternate" w:cs="Arial"/>
          <w:iCs/>
          <w:color w:val="000000" w:themeColor="text1"/>
          <w:sz w:val="24"/>
          <w:szCs w:val="24"/>
          <w:lang w:val="en-US" w:eastAsia="id-ID"/>
        </w:rPr>
        <w:t>situs</w:t>
      </w:r>
      <w:proofErr w:type="spellEnd"/>
      <w:r w:rsidR="0006271D" w:rsidRPr="008E4F43">
        <w:rPr>
          <w:rFonts w:ascii="DIN Alternate" w:eastAsia="Times New Roman" w:hAnsi="DIN Alternate" w:cs="Arial"/>
          <w:iCs/>
          <w:color w:val="000000" w:themeColor="text1"/>
          <w:sz w:val="24"/>
          <w:szCs w:val="24"/>
          <w:lang w:val="en-US" w:eastAsia="id-ID"/>
        </w:rPr>
        <w:t xml:space="preserve"> web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pajak.go.id yang terhubung dengan </w:t>
      </w:r>
      <w:r w:rsidR="00C42E1A" w:rsidRPr="008E4F43">
        <w:rPr>
          <w:rFonts w:ascii="DIN Alternate" w:eastAsia="Times New Roman" w:hAnsi="DIN Alternate" w:cs="Arial"/>
          <w:i/>
          <w:iCs/>
          <w:color w:val="000000" w:themeColor="text1"/>
          <w:sz w:val="24"/>
          <w:szCs w:val="24"/>
          <w:lang w:eastAsia="id-ID"/>
        </w:rPr>
        <w:t>call center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Kring Pajak. </w:t>
      </w:r>
      <w:r w:rsidR="00CC64B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Untuk saat ini fasilitas </w:t>
      </w:r>
      <w:r w:rsidR="00CC64B1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live chat</w:t>
      </w:r>
      <w:r w:rsidR="00CC64B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yang diberikan hanya melayani informasi umum perpajakan dan hanya aktif sesuai jam kerja</w:t>
      </w:r>
      <w:r w:rsidR="0057309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pelayanan</w:t>
      </w:r>
      <w:r w:rsidR="00CC64B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di Direktorat Jenderal Pajak. </w:t>
      </w:r>
    </w:p>
    <w:p w:rsidR="00C42E1A" w:rsidRPr="008E4F43" w:rsidRDefault="00CC64B1" w:rsidP="00BD0DCB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Ketiga, peluncuran </w:t>
      </w:r>
      <w:r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E-Form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1770 dan 1770S. </w:t>
      </w:r>
      <w:r w:rsidR="00533FAB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E-Form</w:t>
      </w:r>
      <w:r w:rsidR="00533FAB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merupakan formulir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Surat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Pemberitahuan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(</w:t>
      </w:r>
      <w:r w:rsidR="00533FAB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SPT</w:t>
      </w:r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)</w:t>
      </w:r>
      <w:r w:rsidR="00533FAB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elektronik berbentuk file dengan ekstensi .xfdl 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yang hadir sebagai solusi atas permasalahan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efiling</w:t>
      </w:r>
      <w:r w:rsidR="00D07B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. </w:t>
      </w:r>
      <w:r w:rsidR="00D07BB9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</w:t>
      </w:r>
      <w:r w:rsidR="0034031D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-</w:t>
      </w:r>
      <w:r w:rsidR="00D07BB9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filing</w:t>
      </w:r>
      <w:r w:rsidR="00D07B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hanya mengakomodir SPT Tahunan 1770S dan 1770SS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.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E-Form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dapat diunduh dan diisi secara </w:t>
      </w:r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luring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, setelah selesai baru diunggah secara </w:t>
      </w:r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daring</w:t>
      </w:r>
      <w:r w:rsidR="0006271D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val="en-US" w:eastAsia="id-ID"/>
        </w:rPr>
        <w:t xml:space="preserve"> 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menggunakan aplikasi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Form Viewer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.</w:t>
      </w:r>
    </w:p>
    <w:p w:rsidR="00C42E1A" w:rsidRPr="008E4F43" w:rsidRDefault="00CC64B1" w:rsidP="003058B7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lastRenderedPageBreak/>
        <w:t xml:space="preserve">Keempat, </w:t>
      </w:r>
      <w:r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p</w:t>
      </w:r>
      <w:r w:rsidR="00C42E1A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repopulated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SPT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Orang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Pribadi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Karyawan</w:t>
      </w:r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.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Terkadang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Orang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Pribadi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Karyawan menunda-nunda pengisian dan pelaporan SPT Tahunan karena belum mendapatkan bukti potong dari pemberi kerja.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Prepopulated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SPT OP Karyawan ini menjadi sebuah solusi, karena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orang </w:t>
      </w:r>
      <w:proofErr w:type="spellStart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Pribadi</w:t>
      </w:r>
      <w:proofErr w:type="spellEnd"/>
      <w:r w:rsidR="000627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K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aryawan tidak perlu menunggu bukti potong diterima dari pemberi kerja, namun sudah langsung muncul dalam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e-form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atau </w:t>
      </w:r>
      <w:r w:rsidR="00686002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e-filing</w:t>
      </w:r>
      <w:r w:rsidR="00686002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.</w:t>
      </w:r>
    </w:p>
    <w:p w:rsidR="009C6048" w:rsidRPr="008E4F43" w:rsidRDefault="00686002" w:rsidP="003058B7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Kelima, p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e</w:t>
      </w:r>
      <w:r w:rsidR="003058B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luncuran </w:t>
      </w:r>
      <w:r w:rsidR="003058B7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 xml:space="preserve">mobile tax unit </w:t>
      </w:r>
      <w:r w:rsidR="003058B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(MTU), 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yaitu unit organi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sasi non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struktural untuk pelayan</w:t>
      </w:r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an di luar kantor</w:t>
      </w:r>
      <w:r w:rsidR="003058B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. </w:t>
      </w:r>
      <w:r w:rsidR="00C57305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Luasnya wilayah kerja tiap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Kantor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Pelayanan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C57305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(KPP) </w:t>
      </w:r>
      <w:r w:rsidR="00C57305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dan terbatasnya </w:t>
      </w:r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fasilitas transportasi kadang membuat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merasa kesulitan untuk datang ke KPP dan melaksanakan hak dan kewajibannya. MTU merupakan sebuah solusi untuk memberikan kemudahan bagi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34031D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yang lokasinya jauh dari KPP.</w:t>
      </w:r>
    </w:p>
    <w:p w:rsidR="009C6048" w:rsidRPr="008E4F43" w:rsidRDefault="0034031D" w:rsidP="00C96261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FF0000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Keenam, </w:t>
      </w:r>
      <w:r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p</w:t>
      </w:r>
      <w:r w:rsidR="009C6048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iloting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KPP Mikro pada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Kantor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Pelayanan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,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Penyuluhan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,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dan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Konsultasi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Perpajakan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(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KP2KP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)</w:t>
      </w:r>
      <w:r w:rsidR="009C6048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.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Dalam rangka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meningkatkan pelayanan kepada w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ajib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ajak dan memberikan kemudahan </w:t>
      </w:r>
      <w:r w:rsidR="001219F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kepada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1219F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, DJP telah meluncurkan ujicoba </w:t>
      </w:r>
      <w:r w:rsidR="001219F7"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piloting</w:t>
      </w:r>
      <w:r w:rsidR="001219F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KPP Mikro kepada lima 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KP2KP. KPP Mi</w:t>
      </w:r>
      <w:r w:rsidR="001219F7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kro ini 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adalah KP2KP rasa KPP, memberikan layanan yang lebih banyak daripada KP2KP pada umumnya.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Terdapat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p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enambahan fungsi konsultasi dan pengolahan data, pengawasan, ekstensifikasi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,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dan penyuluhan, serta subtim pendukung. </w:t>
      </w:r>
    </w:p>
    <w:p w:rsidR="00C42E1A" w:rsidRPr="008E4F43" w:rsidRDefault="00C96261" w:rsidP="00C96261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Ketujuh, 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E-Bukpot atau bukti potong pajak secara elektronik yang memudahkan administrasi data sekaligus menj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adi input bagi </w:t>
      </w:r>
      <w:r w:rsidRPr="008E4F43">
        <w:rPr>
          <w:rFonts w:ascii="DIN Alternate" w:eastAsia="Times New Roman" w:hAnsi="DIN Alternate" w:cs="Arial"/>
          <w:i/>
          <w:color w:val="000000" w:themeColor="text1"/>
          <w:sz w:val="24"/>
          <w:szCs w:val="24"/>
          <w:lang w:eastAsia="id-ID"/>
        </w:rPr>
        <w:t>prepopulated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SPT.</w:t>
      </w:r>
    </w:p>
    <w:p w:rsidR="00E9242F" w:rsidRPr="008E4F43" w:rsidRDefault="00C96261" w:rsidP="00474D26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Kedelapan, p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eluncuran </w:t>
      </w:r>
      <w:r w:rsidR="00C42E1A" w:rsidRPr="008E4F43">
        <w:rPr>
          <w:rFonts w:ascii="DIN Alternate" w:eastAsia="Times New Roman" w:hAnsi="DIN Alternate" w:cs="Arial"/>
          <w:i/>
          <w:iCs/>
          <w:color w:val="000000" w:themeColor="text1"/>
          <w:sz w:val="24"/>
          <w:szCs w:val="24"/>
          <w:lang w:eastAsia="id-ID"/>
        </w:rPr>
        <w:t>Platform</w:t>
      </w:r>
      <w:r w:rsidR="00C42E1A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 Kartin1, yaitu platform yang menggabungkan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Nomor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Pokok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Wajib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Pajak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(NPWP) 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dengan kartu identitas lainnya. Pada hari Jumat, 31 Maret 2017</w:t>
      </w:r>
      <w:r w:rsidR="009C6048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>,</w:t>
      </w:r>
      <w:r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 xml:space="preserve"> DJP telah</w:t>
      </w:r>
      <w:r w:rsidR="009C6048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 xml:space="preserve"> meluncurkan </w:t>
      </w:r>
      <w:r w:rsidR="00D56CDF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>purwarupa Kartu Indonesia 1 (Kartin1) atau dibaca Kartini. Kartu ini merupakan kartu multifungsi</w:t>
      </w:r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yang</w:t>
      </w:r>
      <w:r w:rsidR="00D56CDF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 xml:space="preserve"> menyatukan identitas pribadi </w:t>
      </w:r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  <w:lang w:val="en-US"/>
        </w:rPr>
        <w:t>w</w:t>
      </w:r>
      <w:r w:rsidR="00D56CDF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 xml:space="preserve">ajib </w:t>
      </w:r>
      <w:r w:rsidR="004936B9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="00D56CDF" w:rsidRPr="008E4F43">
        <w:rPr>
          <w:rFonts w:ascii="DIN Alternate" w:hAnsi="DIN Alternate" w:cs="Arial"/>
          <w:color w:val="000000" w:themeColor="text1"/>
          <w:sz w:val="24"/>
          <w:szCs w:val="24"/>
          <w:shd w:val="clear" w:color="auto" w:fill="FFFFFF"/>
        </w:rPr>
        <w:t>ajak dengan berbagai perpautannya. Hal ini akan sangat memudahkan instansi lain yang membutuhkan informasi mengenai kepatuhan pajak Wajib Pajak dan juga sangat membantu bagi Wajib Pajak dalam menerima pelayanan publik.</w:t>
      </w:r>
    </w:p>
    <w:p w:rsidR="004936B9" w:rsidRPr="008E4F43" w:rsidRDefault="00E9242F" w:rsidP="00D56CDF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Perubahan bersifat dinamis, tidak statis. Pastinya apa yang dicapai saat ini akan terus 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dievaluasi dan 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dikembangkan se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hingga semakin meningkatkan mut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u pel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ayanan terhadap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ajib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ajak. </w:t>
      </w:r>
      <w:r w:rsidR="00C96261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Mengutip Susilo Bambang Yudhoyono, “Reformasi hakikatnya adalah perubahan dan kesinambungan. Yang baik wajib dilanjutkan, yang tidak baik mesti dikoreksi dan diperbaiki.” </w:t>
      </w:r>
    </w:p>
    <w:p w:rsidR="00C42E1A" w:rsidRPr="008E4F43" w:rsidRDefault="00D56CDF" w:rsidP="00D56CDF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</w:pP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Langkah Tim Reformasi Perpajakan belumlah usai, jalan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masih panjang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langkah</w:t>
      </w:r>
      <w:proofErr w:type="spellEnd"/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 xml:space="preserve"> 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masih jauh dari cita dan tujuan. Apa yang menjadi capaian hari ini, menjadi pelecut untuk terus memperbaiki citra DJP menjadi institusi publik terbaik yang memberikan kepuasan optimal kepada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w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 xml:space="preserve">ajib </w:t>
      </w:r>
      <w:r w:rsidR="004936B9"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val="en-US" w:eastAsia="id-ID"/>
        </w:rPr>
        <w:t>p</w:t>
      </w:r>
      <w:r w:rsidRPr="008E4F43">
        <w:rPr>
          <w:rFonts w:ascii="DIN Alternate" w:eastAsia="Times New Roman" w:hAnsi="DIN Alternate" w:cs="Arial"/>
          <w:color w:val="000000" w:themeColor="text1"/>
          <w:sz w:val="24"/>
          <w:szCs w:val="24"/>
          <w:lang w:eastAsia="id-ID"/>
        </w:rPr>
        <w:t>ajak. Semoga.</w:t>
      </w:r>
    </w:p>
    <w:p w:rsidR="00D56CDF" w:rsidRPr="008E4F43" w:rsidRDefault="00D56CDF" w:rsidP="00D56CDF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FF0000"/>
          <w:sz w:val="24"/>
          <w:szCs w:val="24"/>
          <w:lang w:eastAsia="id-ID"/>
        </w:rPr>
      </w:pPr>
    </w:p>
    <w:p w:rsidR="00D56CDF" w:rsidRPr="008E4F43" w:rsidRDefault="00D56CDF" w:rsidP="00D56CDF">
      <w:pPr>
        <w:spacing w:before="100" w:beforeAutospacing="1" w:after="100" w:afterAutospacing="1" w:line="240" w:lineRule="auto"/>
        <w:jc w:val="both"/>
        <w:rPr>
          <w:rFonts w:ascii="DIN Alternate" w:eastAsia="Times New Roman" w:hAnsi="DIN Alternate" w:cs="Arial"/>
          <w:color w:val="FF0000"/>
          <w:sz w:val="24"/>
          <w:szCs w:val="24"/>
          <w:lang w:eastAsia="id-ID"/>
        </w:rPr>
      </w:pPr>
    </w:p>
    <w:p w:rsidR="00C42E1A" w:rsidRPr="008E4F43" w:rsidRDefault="00C42E1A" w:rsidP="00474D26">
      <w:pPr>
        <w:spacing w:before="100" w:beforeAutospacing="1" w:after="100" w:afterAutospacing="1" w:line="240" w:lineRule="auto"/>
        <w:jc w:val="both"/>
        <w:rPr>
          <w:rFonts w:ascii="DIN Alternate" w:hAnsi="DIN Alternate" w:cs="Arial"/>
          <w:color w:val="FF0000"/>
          <w:sz w:val="24"/>
          <w:szCs w:val="24"/>
        </w:rPr>
      </w:pPr>
    </w:p>
    <w:p w:rsidR="00A81D2B" w:rsidRPr="008E4F43" w:rsidRDefault="00A81D2B">
      <w:pPr>
        <w:spacing w:before="100" w:beforeAutospacing="1" w:after="100" w:afterAutospacing="1" w:line="240" w:lineRule="auto"/>
        <w:jc w:val="both"/>
        <w:rPr>
          <w:rFonts w:ascii="DIN Alternate" w:hAnsi="DIN Alternate" w:cs="Arial"/>
          <w:color w:val="FF0000"/>
          <w:sz w:val="24"/>
          <w:szCs w:val="24"/>
        </w:rPr>
      </w:pPr>
    </w:p>
    <w:sectPr w:rsidR="00A81D2B" w:rsidRPr="008E4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Alternat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5370"/>
    <w:multiLevelType w:val="multilevel"/>
    <w:tmpl w:val="6592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0E90"/>
    <w:multiLevelType w:val="multilevel"/>
    <w:tmpl w:val="9730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64555"/>
    <w:multiLevelType w:val="hybridMultilevel"/>
    <w:tmpl w:val="26ACDAE4"/>
    <w:lvl w:ilvl="0" w:tplc="1020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10C39"/>
    <w:multiLevelType w:val="hybridMultilevel"/>
    <w:tmpl w:val="05886CB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94BB5"/>
    <w:multiLevelType w:val="hybridMultilevel"/>
    <w:tmpl w:val="C4A6B7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A3F"/>
    <w:multiLevelType w:val="hybridMultilevel"/>
    <w:tmpl w:val="58705CC0"/>
    <w:lvl w:ilvl="0" w:tplc="CACC99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A77F8"/>
    <w:multiLevelType w:val="multilevel"/>
    <w:tmpl w:val="54E4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9"/>
    <w:rsid w:val="0006271D"/>
    <w:rsid w:val="001219F7"/>
    <w:rsid w:val="00125634"/>
    <w:rsid w:val="002608A9"/>
    <w:rsid w:val="00263991"/>
    <w:rsid w:val="003058B7"/>
    <w:rsid w:val="0034031D"/>
    <w:rsid w:val="00474D26"/>
    <w:rsid w:val="004936B9"/>
    <w:rsid w:val="00533FAB"/>
    <w:rsid w:val="0057309A"/>
    <w:rsid w:val="00686002"/>
    <w:rsid w:val="007622B9"/>
    <w:rsid w:val="00815450"/>
    <w:rsid w:val="00837A0B"/>
    <w:rsid w:val="008476F9"/>
    <w:rsid w:val="008A60F5"/>
    <w:rsid w:val="008C4C8C"/>
    <w:rsid w:val="008E4F43"/>
    <w:rsid w:val="009C6048"/>
    <w:rsid w:val="00A81D2B"/>
    <w:rsid w:val="00BD0DCB"/>
    <w:rsid w:val="00C12913"/>
    <w:rsid w:val="00C42E1A"/>
    <w:rsid w:val="00C5028F"/>
    <w:rsid w:val="00C57305"/>
    <w:rsid w:val="00C96261"/>
    <w:rsid w:val="00CC64B1"/>
    <w:rsid w:val="00D07BB9"/>
    <w:rsid w:val="00D56CDF"/>
    <w:rsid w:val="00E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C5AEB-1167-409E-87F1-AAA944D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622B9"/>
    <w:rPr>
      <w:b/>
      <w:bCs/>
    </w:rPr>
  </w:style>
  <w:style w:type="character" w:styleId="Emphasis">
    <w:name w:val="Emphasis"/>
    <w:basedOn w:val="DefaultParagraphFont"/>
    <w:uiPriority w:val="20"/>
    <w:qFormat/>
    <w:rsid w:val="007622B9"/>
    <w:rPr>
      <w:i/>
      <w:iCs/>
    </w:rPr>
  </w:style>
  <w:style w:type="paragraph" w:styleId="ListParagraph">
    <w:name w:val="List Paragraph"/>
    <w:basedOn w:val="Normal"/>
    <w:uiPriority w:val="34"/>
    <w:qFormat/>
    <w:rsid w:val="009C60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6048"/>
  </w:style>
  <w:style w:type="character" w:customStyle="1" w:styleId="Heading1Char">
    <w:name w:val="Heading 1 Char"/>
    <w:basedOn w:val="DefaultParagraphFont"/>
    <w:link w:val="Heading1"/>
    <w:uiPriority w:val="9"/>
    <w:rsid w:val="00125634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KPP501</dc:creator>
  <cp:keywords/>
  <dc:description/>
  <cp:lastModifiedBy>KPP501</cp:lastModifiedBy>
  <cp:revision>3</cp:revision>
  <dcterms:created xsi:type="dcterms:W3CDTF">2017-04-27T01:55:00Z</dcterms:created>
  <dcterms:modified xsi:type="dcterms:W3CDTF">2017-04-27T10:26:00Z</dcterms:modified>
</cp:coreProperties>
</file>